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D38B" w14:textId="77777777" w:rsidR="00200D1F" w:rsidRPr="00C22A06" w:rsidRDefault="00200D1F" w:rsidP="00200D1F">
      <w:pPr>
        <w:rPr>
          <w:b/>
          <w:bCs/>
          <w:sz w:val="28"/>
          <w:szCs w:val="28"/>
        </w:rPr>
      </w:pPr>
      <w:r w:rsidRPr="00C22A06">
        <w:rPr>
          <w:b/>
          <w:bCs/>
          <w:sz w:val="28"/>
          <w:szCs w:val="28"/>
        </w:rPr>
        <w:t xml:space="preserve">AIM INFORME ECONOMICO </w:t>
      </w:r>
      <w:r>
        <w:rPr>
          <w:b/>
          <w:bCs/>
          <w:sz w:val="28"/>
          <w:szCs w:val="28"/>
        </w:rPr>
        <w:t xml:space="preserve">SETIEMBRE </w:t>
      </w:r>
      <w:r w:rsidRPr="00C22A06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NRO 1</w:t>
      </w:r>
    </w:p>
    <w:p w14:paraId="7E917002" w14:textId="77777777" w:rsidR="00200D1F" w:rsidRDefault="00200D1F" w:rsidP="00200D1F">
      <w:pPr>
        <w:rPr>
          <w:b/>
          <w:bCs/>
          <w:sz w:val="28"/>
          <w:szCs w:val="28"/>
        </w:rPr>
      </w:pPr>
      <w:r w:rsidRPr="00C22A06">
        <w:rPr>
          <w:b/>
          <w:bCs/>
          <w:sz w:val="28"/>
          <w:szCs w:val="28"/>
        </w:rPr>
        <w:t>DEPARTAMENTO ECONOMICO TRIBUTARIO</w:t>
      </w:r>
    </w:p>
    <w:p w14:paraId="2C82E7E0" w14:textId="77777777" w:rsidR="00200D1F" w:rsidRDefault="00200D1F" w:rsidP="00200D1F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 tipo de cambio</w:t>
      </w:r>
    </w:p>
    <w:p w14:paraId="35064CA0" w14:textId="21D3EA37" w:rsidR="00200D1F" w:rsidRPr="002E2692" w:rsidRDefault="00200D1F" w:rsidP="00200D1F">
      <w:pPr>
        <w:pStyle w:val="Prrafodelista"/>
        <w:rPr>
          <w:sz w:val="28"/>
          <w:szCs w:val="28"/>
        </w:rPr>
      </w:pPr>
      <w:r w:rsidRPr="002E2692">
        <w:rPr>
          <w:sz w:val="28"/>
          <w:szCs w:val="28"/>
        </w:rPr>
        <w:t xml:space="preserve">El tipo de cambio ha sido siempre una cuestión conflictiva derivado de los procesos inflacionarios y el poco desarrollo del país por décadas, y en tal sentido muchas veces ha sido usado como ancla </w:t>
      </w:r>
      <w:r w:rsidR="00817B56" w:rsidRPr="002E2692">
        <w:rPr>
          <w:sz w:val="28"/>
          <w:szCs w:val="28"/>
        </w:rPr>
        <w:t>antinflacionaria</w:t>
      </w:r>
      <w:r w:rsidRPr="002E2692">
        <w:rPr>
          <w:sz w:val="28"/>
          <w:szCs w:val="28"/>
        </w:rPr>
        <w:t>.</w:t>
      </w:r>
    </w:p>
    <w:p w14:paraId="4DB65E35" w14:textId="7A1AAC5B" w:rsidR="00200D1F" w:rsidRPr="002E2692" w:rsidRDefault="00200D1F" w:rsidP="00200D1F">
      <w:pPr>
        <w:pStyle w:val="Prrafodelista"/>
        <w:rPr>
          <w:sz w:val="28"/>
          <w:szCs w:val="28"/>
        </w:rPr>
      </w:pPr>
      <w:r w:rsidRPr="002E2692">
        <w:rPr>
          <w:sz w:val="28"/>
          <w:szCs w:val="28"/>
        </w:rPr>
        <w:t xml:space="preserve">Veremos la evolución del ITCRM índice de tipo de cambio real multilateral a través de las series del BCRA que hacen base 100 en noviembre 2015.  La base tiene importancia en </w:t>
      </w:r>
      <w:r w:rsidR="00817B56" w:rsidRPr="002E2692">
        <w:rPr>
          <w:sz w:val="28"/>
          <w:szCs w:val="28"/>
        </w:rPr>
        <w:t>la medida</w:t>
      </w:r>
      <w:r w:rsidRPr="002E2692">
        <w:rPr>
          <w:sz w:val="28"/>
          <w:szCs w:val="28"/>
        </w:rPr>
        <w:t xml:space="preserve"> que el tipo de cambio este en equilibrio, es decir equilibre la balanza de pagos, por </w:t>
      </w:r>
      <w:r w:rsidR="00817B56" w:rsidRPr="002E2692">
        <w:rPr>
          <w:sz w:val="28"/>
          <w:szCs w:val="28"/>
        </w:rPr>
        <w:t>tanto,</w:t>
      </w:r>
      <w:r w:rsidRPr="002E2692">
        <w:rPr>
          <w:sz w:val="28"/>
          <w:szCs w:val="28"/>
        </w:rPr>
        <w:t xml:space="preserve"> es un poco discutible que </w:t>
      </w:r>
      <w:r w:rsidR="00817B56" w:rsidRPr="002E2692">
        <w:rPr>
          <w:sz w:val="28"/>
          <w:szCs w:val="28"/>
        </w:rPr>
        <w:t>esta</w:t>
      </w:r>
      <w:r w:rsidRPr="002E2692">
        <w:rPr>
          <w:sz w:val="28"/>
          <w:szCs w:val="28"/>
        </w:rPr>
        <w:t xml:space="preserve"> base este </w:t>
      </w:r>
      <w:r w:rsidR="00817B56" w:rsidRPr="002E2692">
        <w:rPr>
          <w:sz w:val="28"/>
          <w:szCs w:val="28"/>
        </w:rPr>
        <w:t>bien</w:t>
      </w:r>
      <w:r w:rsidRPr="002E2692">
        <w:rPr>
          <w:sz w:val="28"/>
          <w:szCs w:val="28"/>
        </w:rPr>
        <w:t xml:space="preserve"> tomada, viejo problema argentino, del cual derivan innúmeras situaciones y dificultades.</w:t>
      </w:r>
    </w:p>
    <w:p w14:paraId="6848E70D" w14:textId="77777777" w:rsidR="00200D1F" w:rsidRDefault="00200D1F" w:rsidP="00200D1F">
      <w:pPr>
        <w:pStyle w:val="Prrafodelista"/>
        <w:rPr>
          <w:b/>
          <w:bCs/>
          <w:sz w:val="28"/>
          <w:szCs w:val="28"/>
        </w:rPr>
      </w:pPr>
    </w:p>
    <w:p w14:paraId="4FD4C8B8" w14:textId="4AE62A78" w:rsidR="00200D1F" w:rsidRDefault="00817B56" w:rsidP="00200D1F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Evolución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200"/>
      </w:tblGrid>
      <w:tr w:rsidR="00200D1F" w:rsidRPr="00200D1F" w14:paraId="64A82003" w14:textId="77777777" w:rsidTr="00200D1F">
        <w:trPr>
          <w:trHeight w:val="8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5D9F1"/>
            <w:vAlign w:val="center"/>
            <w:hideMark/>
          </w:tcPr>
          <w:p w14:paraId="115AAB17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Período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5E62443B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ITCRM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7AE07215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ITCRB Brasil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0F8589FD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ITCRB Canadá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110B7A37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ITCRB Chile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005C5884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ITCRB Estados Unidos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71BC6CD5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ITCRB México</w:t>
            </w:r>
          </w:p>
        </w:tc>
      </w:tr>
      <w:tr w:rsidR="00200D1F" w:rsidRPr="00200D1F" w14:paraId="310B7EF0" w14:textId="77777777" w:rsidTr="00200D1F">
        <w:trPr>
          <w:trHeight w:val="8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5D9F1"/>
            <w:vAlign w:val="center"/>
            <w:hideMark/>
          </w:tcPr>
          <w:p w14:paraId="0887B7A7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ago-20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599D3332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119,1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7EC1E179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6EF3D6C4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134,1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1B830821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118,8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0CDB9543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126,9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5EF9D273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109,0</w:t>
            </w:r>
          </w:p>
        </w:tc>
      </w:tr>
    </w:tbl>
    <w:p w14:paraId="102714A5" w14:textId="21118C04" w:rsidR="002E04F1" w:rsidRDefault="002E04F1"/>
    <w:tbl>
      <w:tblPr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200D1F" w:rsidRPr="00200D1F" w14:paraId="1E4A58DE" w14:textId="77777777" w:rsidTr="00200D1F">
        <w:trPr>
          <w:trHeight w:val="855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50829D2C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ITCRB Uruguay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3DD48DA2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ITCRB China</w:t>
            </w:r>
          </w:p>
        </w:tc>
      </w:tr>
      <w:tr w:rsidR="00200D1F" w:rsidRPr="00200D1F" w14:paraId="24D39E72" w14:textId="77777777" w:rsidTr="00200D1F">
        <w:trPr>
          <w:trHeight w:val="855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1B966EE0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119,1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7528445D" w14:textId="77777777" w:rsidR="00200D1F" w:rsidRPr="00200D1F" w:rsidRDefault="00200D1F" w:rsidP="00200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00D1F">
              <w:rPr>
                <w:rFonts w:ascii="Calibri" w:eastAsia="Times New Roman" w:hAnsi="Calibri" w:cs="Times New Roman"/>
                <w:color w:val="000000"/>
                <w:lang w:eastAsia="es-AR"/>
              </w:rPr>
              <w:t>126,8</w:t>
            </w:r>
          </w:p>
        </w:tc>
      </w:tr>
    </w:tbl>
    <w:p w14:paraId="39352C3A" w14:textId="2D7B76B5" w:rsidR="00200D1F" w:rsidRDefault="00200D1F">
      <w:r w:rsidRPr="00D44E94">
        <w:rPr>
          <w:b/>
          <w:bCs/>
          <w:sz w:val="28"/>
          <w:szCs w:val="28"/>
        </w:rPr>
        <w:t>FUENTE BCRA, INDEC, CABA, SAN LUIS, DATASTREAM, REM</w:t>
      </w:r>
      <w:r>
        <w:t>.</w:t>
      </w:r>
    </w:p>
    <w:p w14:paraId="2279BE83" w14:textId="6AF627FE" w:rsidR="00D44E94" w:rsidRPr="00D44E94" w:rsidRDefault="00D44E94" w:rsidP="00D44E94">
      <w:pPr>
        <w:rPr>
          <w:sz w:val="28"/>
          <w:szCs w:val="28"/>
        </w:rPr>
      </w:pPr>
      <w:r w:rsidRPr="00D44E94">
        <w:rPr>
          <w:sz w:val="28"/>
          <w:szCs w:val="28"/>
        </w:rPr>
        <w:t xml:space="preserve">Tal como puede observarse si la base del 2015 es 100 el tipo de cambio esta correctamente fijado; debe tenerse presente que el tipo de cambio que </w:t>
      </w:r>
      <w:r w:rsidR="00817B56" w:rsidRPr="00D44E94">
        <w:rPr>
          <w:sz w:val="28"/>
          <w:szCs w:val="28"/>
        </w:rPr>
        <w:t>interesa</w:t>
      </w:r>
      <w:r w:rsidRPr="00D44E94">
        <w:rPr>
          <w:sz w:val="28"/>
          <w:szCs w:val="28"/>
        </w:rPr>
        <w:t xml:space="preserve"> es básicamente el bilateral con aquellos países que </w:t>
      </w:r>
      <w:r w:rsidR="00817B56" w:rsidRPr="00D44E94">
        <w:rPr>
          <w:sz w:val="28"/>
          <w:szCs w:val="28"/>
        </w:rPr>
        <w:t>comerciamos, que</w:t>
      </w:r>
      <w:r w:rsidRPr="00D44E94">
        <w:rPr>
          <w:sz w:val="28"/>
          <w:szCs w:val="28"/>
        </w:rPr>
        <w:t xml:space="preserve"> están detallados y faltaría la </w:t>
      </w:r>
      <w:r w:rsidR="00817B56" w:rsidRPr="00D44E94">
        <w:rPr>
          <w:sz w:val="28"/>
          <w:szCs w:val="28"/>
        </w:rPr>
        <w:t>Unión</w:t>
      </w:r>
      <w:r w:rsidRPr="00D44E94">
        <w:rPr>
          <w:sz w:val="28"/>
          <w:szCs w:val="28"/>
        </w:rPr>
        <w:t xml:space="preserve"> Europea. </w:t>
      </w:r>
      <w:r w:rsidR="00817B56" w:rsidRPr="00D44E94">
        <w:rPr>
          <w:sz w:val="28"/>
          <w:szCs w:val="28"/>
        </w:rPr>
        <w:t>También</w:t>
      </w:r>
      <w:r w:rsidRPr="00D44E94">
        <w:rPr>
          <w:sz w:val="28"/>
          <w:szCs w:val="28"/>
        </w:rPr>
        <w:t xml:space="preserve"> que </w:t>
      </w:r>
      <w:r w:rsidR="00164A21">
        <w:rPr>
          <w:sz w:val="28"/>
          <w:szCs w:val="28"/>
        </w:rPr>
        <w:t xml:space="preserve">existen </w:t>
      </w:r>
      <w:r w:rsidRPr="00D44E94">
        <w:rPr>
          <w:sz w:val="28"/>
          <w:szCs w:val="28"/>
        </w:rPr>
        <w:t>retenciones y reintegros según el sector, pero además debe considerarse los precios de los comodities que en principio parecen estar a favor nuestro</w:t>
      </w:r>
      <w:r w:rsidR="00164A21">
        <w:rPr>
          <w:sz w:val="28"/>
          <w:szCs w:val="28"/>
        </w:rPr>
        <w:t>.</w:t>
      </w:r>
    </w:p>
    <w:p w14:paraId="338E6ABA" w14:textId="77777777" w:rsidR="00D44E94" w:rsidRPr="00D44E94" w:rsidRDefault="00D44E94" w:rsidP="00D44E94">
      <w:pPr>
        <w:rPr>
          <w:sz w:val="28"/>
          <w:szCs w:val="28"/>
        </w:rPr>
      </w:pPr>
    </w:p>
    <w:p w14:paraId="79A131D1" w14:textId="77777777" w:rsidR="00D44E94" w:rsidRPr="00D44E94" w:rsidRDefault="00D44E94" w:rsidP="00D44E94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D44E94">
        <w:rPr>
          <w:b/>
          <w:bCs/>
          <w:sz w:val="28"/>
          <w:szCs w:val="28"/>
        </w:rPr>
        <w:lastRenderedPageBreak/>
        <w:t>Conclusiones</w:t>
      </w:r>
    </w:p>
    <w:p w14:paraId="60717F39" w14:textId="5FDFA8C0" w:rsidR="00E62B1A" w:rsidRPr="00D44E94" w:rsidRDefault="00D44E94" w:rsidP="00D44E94">
      <w:pPr>
        <w:pStyle w:val="Prrafodelista"/>
        <w:rPr>
          <w:sz w:val="28"/>
          <w:szCs w:val="28"/>
        </w:rPr>
      </w:pPr>
      <w:r w:rsidRPr="00D44E94">
        <w:rPr>
          <w:sz w:val="28"/>
          <w:szCs w:val="28"/>
        </w:rPr>
        <w:t xml:space="preserve">Mas allá de las </w:t>
      </w:r>
      <w:r w:rsidR="00817B56" w:rsidRPr="00D44E94">
        <w:rPr>
          <w:sz w:val="28"/>
          <w:szCs w:val="28"/>
        </w:rPr>
        <w:t>consideraciones</w:t>
      </w:r>
      <w:r w:rsidRPr="00D44E94">
        <w:rPr>
          <w:sz w:val="28"/>
          <w:szCs w:val="28"/>
        </w:rPr>
        <w:t xml:space="preserve"> </w:t>
      </w:r>
      <w:r w:rsidR="00817B56" w:rsidRPr="00D44E94">
        <w:rPr>
          <w:sz w:val="28"/>
          <w:szCs w:val="28"/>
        </w:rPr>
        <w:t>precedentes</w:t>
      </w:r>
      <w:r w:rsidRPr="00D44E94">
        <w:rPr>
          <w:sz w:val="28"/>
          <w:szCs w:val="28"/>
        </w:rPr>
        <w:t>, la brec</w:t>
      </w:r>
      <w:r w:rsidR="00164A21">
        <w:rPr>
          <w:sz w:val="28"/>
          <w:szCs w:val="28"/>
        </w:rPr>
        <w:t>h</w:t>
      </w:r>
      <w:r w:rsidRPr="00D44E94">
        <w:rPr>
          <w:sz w:val="28"/>
          <w:szCs w:val="28"/>
        </w:rPr>
        <w:t>a entre el blue y el oficial es grande, entre un 70 y un 80%, lo que significa que el tipo de cambio es de un equilibrio</w:t>
      </w:r>
      <w:r>
        <w:t xml:space="preserve"> </w:t>
      </w:r>
      <w:r w:rsidR="00164A21" w:rsidRPr="00164A21">
        <w:rPr>
          <w:sz w:val="28"/>
          <w:szCs w:val="28"/>
        </w:rPr>
        <w:t>inestable</w:t>
      </w:r>
      <w:r w:rsidR="00164A21">
        <w:t xml:space="preserve"> </w:t>
      </w:r>
      <w:r w:rsidR="00E62B1A" w:rsidRPr="00D44E94">
        <w:rPr>
          <w:sz w:val="28"/>
          <w:szCs w:val="28"/>
        </w:rPr>
        <w:t xml:space="preserve">donde juegan otros factores, sobre todo las expectativas, y el </w:t>
      </w:r>
      <w:r w:rsidR="00817B56" w:rsidRPr="00D44E94">
        <w:rPr>
          <w:sz w:val="28"/>
          <w:szCs w:val="28"/>
        </w:rPr>
        <w:t>recuerdo</w:t>
      </w:r>
      <w:r w:rsidR="00E62B1A" w:rsidRPr="00D44E94">
        <w:rPr>
          <w:sz w:val="28"/>
          <w:szCs w:val="28"/>
        </w:rPr>
        <w:t xml:space="preserve"> de tiempos pasados, que obligan al gobierno a seguir de cerca la evolución del tipo de cambio.</w:t>
      </w:r>
    </w:p>
    <w:sectPr w:rsidR="00E62B1A" w:rsidRPr="00D44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91127"/>
    <w:multiLevelType w:val="hybridMultilevel"/>
    <w:tmpl w:val="FFB2DE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3D15"/>
    <w:multiLevelType w:val="hybridMultilevel"/>
    <w:tmpl w:val="FFB2DE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1F"/>
    <w:rsid w:val="00164A21"/>
    <w:rsid w:val="00200D1F"/>
    <w:rsid w:val="002E04F1"/>
    <w:rsid w:val="004F4D60"/>
    <w:rsid w:val="00817B56"/>
    <w:rsid w:val="00D44E94"/>
    <w:rsid w:val="00E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62A0"/>
  <w15:chartTrackingRefBased/>
  <w15:docId w15:val="{6B8CBECC-98B4-4E1B-95B5-F7946D50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5</cp:revision>
  <dcterms:created xsi:type="dcterms:W3CDTF">2020-09-08T13:39:00Z</dcterms:created>
  <dcterms:modified xsi:type="dcterms:W3CDTF">2020-09-08T14:02:00Z</dcterms:modified>
</cp:coreProperties>
</file>